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86" w:rsidRPr="00993ACD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ACD"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</w:p>
    <w:p w:rsidR="00073686" w:rsidRPr="00993ACD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686" w:rsidRPr="00993ACD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ACD">
        <w:rPr>
          <w:rFonts w:ascii="Times New Roman" w:eastAsia="Calibri" w:hAnsi="Times New Roman" w:cs="Times New Roman"/>
          <w:sz w:val="24"/>
          <w:szCs w:val="24"/>
        </w:rPr>
        <w:t>по дисциплине "</w:t>
      </w:r>
      <w:r w:rsidR="00791E4E" w:rsidRPr="00993ACD">
        <w:rPr>
          <w:rFonts w:ascii="Times New Roman" w:eastAsia="Calibri" w:hAnsi="Times New Roman" w:cs="Times New Roman"/>
          <w:sz w:val="24"/>
          <w:szCs w:val="24"/>
        </w:rPr>
        <w:t>Социальная психология</w:t>
      </w:r>
      <w:r w:rsidRPr="00993ACD">
        <w:rPr>
          <w:rFonts w:ascii="Times New Roman" w:eastAsia="Calibri" w:hAnsi="Times New Roman" w:cs="Times New Roman"/>
          <w:sz w:val="24"/>
          <w:szCs w:val="24"/>
        </w:rPr>
        <w:t xml:space="preserve"> "</w:t>
      </w:r>
    </w:p>
    <w:p w:rsidR="00073686" w:rsidRPr="00993ACD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3686" w:rsidRPr="00993ACD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ACD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:rsidR="00073686" w:rsidRPr="00993ACD" w:rsidRDefault="00073686" w:rsidP="0007368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ACD" w:rsidRPr="00993ACD" w:rsidRDefault="00993ACD" w:rsidP="00993A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3ACD" w:rsidRPr="00993ACD" w:rsidRDefault="00993ACD" w:rsidP="00993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ACD">
        <w:rPr>
          <w:rFonts w:ascii="Times New Roman" w:hAnsi="Times New Roman" w:cs="Times New Roman"/>
          <w:b/>
          <w:bCs/>
          <w:sz w:val="24"/>
          <w:szCs w:val="24"/>
        </w:rPr>
        <w:t>ПОРТФОЛИО ВКЛЮЧ</w:t>
      </w:r>
      <w:r>
        <w:rPr>
          <w:rFonts w:ascii="Times New Roman" w:hAnsi="Times New Roman" w:cs="Times New Roman"/>
          <w:b/>
          <w:bCs/>
          <w:sz w:val="24"/>
          <w:szCs w:val="24"/>
        </w:rPr>
        <w:t>АЕТ В СЕБЯ СЛЕДУЮЩИЕ ВИДЫ РАБОТ</w:t>
      </w:r>
    </w:p>
    <w:p w:rsidR="00993ACD" w:rsidRPr="00993ACD" w:rsidRDefault="00993ACD" w:rsidP="00993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93ACD">
        <w:rPr>
          <w:rFonts w:ascii="Times New Roman" w:hAnsi="Times New Roman" w:cs="Times New Roman"/>
          <w:bCs/>
          <w:sz w:val="24"/>
          <w:szCs w:val="24"/>
        </w:rPr>
        <w:t>1) участие в дискуссиях на практических занятиях</w:t>
      </w:r>
    </w:p>
    <w:p w:rsidR="00993ACD" w:rsidRPr="00993ACD" w:rsidRDefault="00993ACD" w:rsidP="00993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93ACD">
        <w:rPr>
          <w:rFonts w:ascii="Times New Roman" w:hAnsi="Times New Roman" w:cs="Times New Roman"/>
          <w:bCs/>
          <w:sz w:val="24"/>
          <w:szCs w:val="24"/>
        </w:rPr>
        <w:t>2) выступление на семинаре с докладом и презентацией,</w:t>
      </w:r>
    </w:p>
    <w:p w:rsidR="00993ACD" w:rsidRPr="00993ACD" w:rsidRDefault="00993ACD" w:rsidP="00993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93ACD">
        <w:rPr>
          <w:rFonts w:ascii="Times New Roman" w:hAnsi="Times New Roman" w:cs="Times New Roman"/>
          <w:bCs/>
          <w:sz w:val="24"/>
          <w:szCs w:val="24"/>
        </w:rPr>
        <w:t>3) баллы за промежуточную и итоговую контрольные работы.</w:t>
      </w:r>
    </w:p>
    <w:p w:rsidR="00993ACD" w:rsidRPr="00993ACD" w:rsidRDefault="00993ACD" w:rsidP="00993A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93ACD" w:rsidRPr="00993ACD" w:rsidRDefault="00993ACD" w:rsidP="00993ACD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ACD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к дискуссии 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Круглый стол, полемика, диспут, дебаты --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 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 xml:space="preserve">Целью проведения данной активной формы практического занятия является вовлечение всей группы к обсуждению и обобщению идей и мнений относительно сформулированных вопросов и проблем. Все участники круглого стола равноправны, выступают в роли </w:t>
      </w:r>
      <w:proofErr w:type="spellStart"/>
      <w:r w:rsidRPr="00993ACD">
        <w:t>пропонентов</w:t>
      </w:r>
      <w:proofErr w:type="spellEnd"/>
      <w:r w:rsidRPr="00993ACD">
        <w:t xml:space="preserve">, т.е. выражают мнение по поводу обсуждаемого вопроса, а не по поводу мнений других участников. 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Данная модель проведения практического занятия способствует лучшему усвоению изучаемого материала и играет скорее информационно-организационную роль. У бакалавров закрепляет владение навыком анализа и сравнения, аргументации собственной точки зрения. Для подготовки к круглому столу, необходимо ознакомиться с темой, с вопросами, выносимыми для обсуждения, а также с литературой, необходимой для подготовки по этим вопросам.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Первый вариант проведения круглого стола: участники выступают с докладами, затем проводится их обсуждение. При этом ведущий, которым выступает преподаватель, принимает в заседании относительно скромное участие - распределяет время выступлений, предоставляет слово участникам обсуждения. Второй вариант - ведущий интервьюирует участников круглого стола или выдвигает тезисы для обсуждения. В этом случае он следит за тем, чтобы высказались все участники, «держит» ход обсуждения в русле главной проблемы, ради которой организована встреча за «круглым столом». Такой способ проведения круглого стола вызывает больший интерес у аудитории. Но он требует от ведущего большего мастерства и глубокого знания «нюансов» обсуждаемой проблемы.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При подготовке к круглому столу следует помнить, что вы должны выступить настоящим экспертом темы, которой посвящены ваши тезисы, а само выступление (реплики) быть не только содержательными, но и небанальными, чтобы сообщить нечто новое остальным участникам.</w:t>
      </w:r>
    </w:p>
    <w:p w:rsidR="00993ACD" w:rsidRDefault="00993ACD" w:rsidP="00993ACD">
      <w:pPr>
        <w:pStyle w:val="a8"/>
        <w:spacing w:before="0" w:beforeAutospacing="0"/>
        <w:jc w:val="center"/>
        <w:rPr>
          <w:rStyle w:val="ab"/>
        </w:rPr>
      </w:pPr>
    </w:p>
    <w:p w:rsidR="00993ACD" w:rsidRPr="00993ACD" w:rsidRDefault="00993ACD" w:rsidP="00993ACD">
      <w:pPr>
        <w:pStyle w:val="a8"/>
        <w:spacing w:before="0" w:beforeAutospacing="0"/>
        <w:jc w:val="center"/>
      </w:pPr>
      <w:r w:rsidRPr="00993ACD">
        <w:rPr>
          <w:rStyle w:val="ab"/>
        </w:rPr>
        <w:t>Методические рекомендации по подготовке доклада (сообщения) на семинарском занятии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rPr>
          <w:rStyle w:val="ab"/>
        </w:rPr>
        <w:lastRenderedPageBreak/>
        <w:t xml:space="preserve">Доклад, сообщение </w:t>
      </w:r>
      <w:r w:rsidRPr="00993ACD">
        <w:t>– это устный текст, представляющий собой публичное развернутое, глубокое изложение определенной темы;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 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занятиях, с одной стороны, позволяют дополнить лекционный материал, а с другой – дают преподавателю возможность оценить умения учащихся самостоятельно работать с учебным и научным материалом.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Подготовка доклада требует от студента большой самостоятельности и серьезной интеллектуальной работы.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Строение доклада, как и любой другой научной работы, традиционно имеет три части: вступление, основную часть и заключение: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rPr>
          <w:u w:val="single"/>
        </w:rPr>
        <w:t>Во вступлении</w:t>
      </w:r>
      <w:r w:rsidRPr="00993ACD"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 п.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rPr>
          <w:u w:val="single"/>
        </w:rPr>
        <w:t>В заключении</w:t>
      </w:r>
      <w:r w:rsidRPr="00993ACD">
        <w:t xml:space="preserve"> обычно подводятся итоги, формулируются выводы, подчеркивается значение рассмотренной проблемы и т. п.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rPr>
          <w:u w:val="single"/>
        </w:rPr>
        <w:t>Основная часть</w:t>
      </w:r>
      <w:r w:rsidRPr="00993ACD">
        <w:t xml:space="preserve"> также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 xml:space="preserve">Доклад должен сопровождаться иллюстративным материалом (печатные раздаточные материалы или мультимедийная презентация, сделанная в программе </w:t>
      </w:r>
      <w:proofErr w:type="spellStart"/>
      <w:r w:rsidRPr="00993ACD">
        <w:t>MicrosoftPowerPoint</w:t>
      </w:r>
      <w:proofErr w:type="spellEnd"/>
      <w:r w:rsidRPr="00993ACD">
        <w:t xml:space="preserve"> (или аналогичной)). Рекомендуемое количество слайдов составляет 8–12. Продолжительность выступления, в зависимости от тематики, может </w:t>
      </w:r>
      <w:proofErr w:type="gramStart"/>
      <w:r w:rsidRPr="00993ACD">
        <w:t>составлять  5</w:t>
      </w:r>
      <w:proofErr w:type="gramEnd"/>
      <w:r w:rsidRPr="00993ACD">
        <w:t>–12 минут.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Первый слайд презентации должен включать название доклада и Ф.И.О. его автора (</w:t>
      </w:r>
      <w:proofErr w:type="spellStart"/>
      <w:r w:rsidRPr="00993ACD">
        <w:t>ов</w:t>
      </w:r>
      <w:proofErr w:type="spellEnd"/>
      <w:r w:rsidRPr="00993ACD">
        <w:t>). Последний слайд в обязательном порядке содержит список использованных источников и литературы.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 xml:space="preserve">Доклад на семинаре является одним из видов </w:t>
      </w:r>
      <w:r w:rsidRPr="00993ACD">
        <w:rPr>
          <w:u w:val="single"/>
        </w:rPr>
        <w:t>самостоятельной</w:t>
      </w:r>
      <w:r w:rsidRPr="00993ACD">
        <w:t xml:space="preserve"> работы студента. Это означает, что текст выступления составляется непосредственно </w:t>
      </w:r>
      <w:proofErr w:type="gramStart"/>
      <w:r w:rsidRPr="00993ACD">
        <w:t>обучающимся  на</w:t>
      </w:r>
      <w:proofErr w:type="gramEnd"/>
      <w:r w:rsidRPr="00993ACD">
        <w:t xml:space="preserve"> основе изученных источников и литературы по теме. Дословно вставлять в него фрагменты текста, взятого из прочитанных книг или из Интернета, недопустимо.  Разрешены лишь короткие цитаты из источников или литературы (с обязательным указанием автора процитированного текста).</w:t>
      </w:r>
    </w:p>
    <w:p w:rsidR="00993ACD" w:rsidRPr="00993ACD" w:rsidRDefault="00993ACD" w:rsidP="00993A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center"/>
      </w:pPr>
      <w:r w:rsidRPr="00993ACD">
        <w:rPr>
          <w:b/>
        </w:rPr>
        <w:t>Методические рекомендации по подготовке к</w:t>
      </w:r>
      <w:r w:rsidRPr="00993ACD">
        <w:rPr>
          <w:b/>
        </w:rPr>
        <w:t xml:space="preserve"> письменному </w:t>
      </w:r>
      <w:r w:rsidRPr="00993ACD">
        <w:rPr>
          <w:b/>
        </w:rPr>
        <w:t>фронтальному опросу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Фронтальный опрос -- средство контроля освоения материала предыдущего занятия или материала для самостоятельного изучения. При фронтальной форме организации контроля на вопросы учителя по сравнительно небольшому объему материала краткие ответы</w:t>
      </w:r>
      <w:r w:rsidRPr="00993ACD">
        <w:t xml:space="preserve">. </w:t>
      </w:r>
      <w:r w:rsidRPr="00993ACD">
        <w:t>Эта форма контроля позволяет удачно сочетать проверку с задачами повторения и закрепления пройденного материала.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lastRenderedPageBreak/>
        <w:t xml:space="preserve">При фронтальном опросе за сравнительно небольшое время удается осуществить проверку знаний у значительной части класса. Фронтальный контроль </w:t>
      </w:r>
      <w:r w:rsidRPr="00993ACD">
        <w:t xml:space="preserve">на «социальной психологии» </w:t>
      </w:r>
      <w:r w:rsidRPr="00993ACD">
        <w:t>осуществля</w:t>
      </w:r>
      <w:r w:rsidRPr="00993ACD">
        <w:t>ется</w:t>
      </w:r>
      <w:r w:rsidRPr="00993ACD">
        <w:t xml:space="preserve"> в письменной форме. При подготовке к фронтальному опросу следует: внимательно прочитать материал лекций и конспекты семинарских занятий, относящихся к данной теме, ознакомиться с учебными материалами, включая электронные в соответствии с предложенным списком литературы в рабочей программе учебной дисциплины.</w:t>
      </w:r>
    </w:p>
    <w:p w:rsidR="00993ACD" w:rsidRPr="00993ACD" w:rsidRDefault="00993ACD" w:rsidP="00993A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ACD" w:rsidRPr="00993ACD" w:rsidRDefault="00993ACD" w:rsidP="00993A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93ACD">
        <w:rPr>
          <w:rFonts w:ascii="Times New Roman" w:hAnsi="Times New Roman" w:cs="Times New Roman"/>
          <w:b/>
          <w:sz w:val="24"/>
          <w:szCs w:val="24"/>
        </w:rPr>
        <w:t>ОБРАЗЦЫ ЭКЗАМЕНАЦИОННЫХ ВОПРОСОВ</w:t>
      </w:r>
    </w:p>
    <w:p w:rsidR="00993ACD" w:rsidRPr="00993ACD" w:rsidRDefault="00993ACD" w:rsidP="00993ACD">
      <w:pPr>
        <w:tabs>
          <w:tab w:val="left" w:pos="1134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Понятие малой группы. Минимальный и максимальный размер малой группы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Классификация малых групп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Методы изучения малых групп</w:t>
      </w:r>
      <w:bookmarkStart w:id="0" w:name="_GoBack"/>
      <w:bookmarkEnd w:id="0"/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Психоаналитический подход к изучению малых групп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Функциональный подход к проблеме образования групп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Изучение малых групп в отечественной психологии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Социометрический подход к групповой структуре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Коммуникативная структура малой группы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Ролевая структура малой группы. Модель М.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Белбина</w:t>
      </w:r>
      <w:proofErr w:type="spellEnd"/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Виды ролевых конфликтов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Структура социальной власти и влияния в малой группе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Понятие групповой динамики. Основные характеристики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Подходы к изучению развития малых групп (линейные и циклические, дескриптивные и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прескриптивные</w:t>
      </w:r>
      <w:proofErr w:type="spellEnd"/>
      <w:r w:rsidRPr="00993ACD">
        <w:rPr>
          <w:rFonts w:ascii="Times New Roman" w:hAnsi="Times New Roman" w:cs="Times New Roman"/>
          <w:sz w:val="24"/>
          <w:szCs w:val="24"/>
        </w:rPr>
        <w:t xml:space="preserve"> модели)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Модель развития малой группы Брюса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Такмена</w:t>
      </w:r>
      <w:proofErr w:type="spellEnd"/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Концепция поэтапного развития группы Л.И. Уманского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Подход к развитию группы в теории А.В. Петровского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Циклические модели развития групп (В. Сатир, К. Левин)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Теория социального обмена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Тибо</w:t>
      </w:r>
      <w:proofErr w:type="spellEnd"/>
      <w:r w:rsidRPr="00993ACD">
        <w:rPr>
          <w:rFonts w:ascii="Times New Roman" w:hAnsi="Times New Roman" w:cs="Times New Roman"/>
          <w:sz w:val="24"/>
          <w:szCs w:val="24"/>
        </w:rPr>
        <w:t xml:space="preserve"> и Келли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Влияние в группе: общий обзор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Влияние большинства в малой группе: феномен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конформности</w:t>
      </w:r>
      <w:proofErr w:type="spellEnd"/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Влияние группового меньшинства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Лидерство в малой группе. Теория личностных черт и ситуационная теория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Стили лидерства в школе групповой динамики К. Левина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Лидерство в организации: модель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Болмэна</w:t>
      </w:r>
      <w:proofErr w:type="spellEnd"/>
      <w:r w:rsidRPr="0099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Дилла</w:t>
      </w:r>
      <w:proofErr w:type="spellEnd"/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Модели принятия групповых решений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Стили принятия решений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Понятие групповой дискуссии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Типы групповых задач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Критерии принятия групповых решений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Ингибиторы групповой продуктивности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Усилители групповой продуктивности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Групповые нормы: понятие, виды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Феномен групповой сплочённости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Изучение межгрупповых взаимоотношений в американской психологии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 xml:space="preserve">Концепция межгрупповых отношений </w:t>
      </w:r>
      <w:proofErr w:type="spellStart"/>
      <w:r w:rsidRPr="00993ACD">
        <w:rPr>
          <w:rFonts w:ascii="Times New Roman" w:hAnsi="Times New Roman" w:cs="Times New Roman"/>
          <w:sz w:val="24"/>
          <w:szCs w:val="24"/>
        </w:rPr>
        <w:t>Тэджфела</w:t>
      </w:r>
      <w:proofErr w:type="spellEnd"/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lastRenderedPageBreak/>
        <w:t>Психологическая структура больших социальных групп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Этническая идентичность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Этнические конфликты и их разрешение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Социально-психологические характеристики стихийных групп</w:t>
      </w:r>
    </w:p>
    <w:p w:rsidR="00993ACD" w:rsidRPr="00993ACD" w:rsidRDefault="00993ACD" w:rsidP="00993AC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3ACD">
        <w:rPr>
          <w:rFonts w:ascii="Times New Roman" w:hAnsi="Times New Roman" w:cs="Times New Roman"/>
          <w:sz w:val="24"/>
          <w:szCs w:val="24"/>
        </w:rPr>
        <w:t>Специфика социально-психологических процессов в толпе</w:t>
      </w:r>
    </w:p>
    <w:p w:rsidR="00993ACD" w:rsidRPr="00993ACD" w:rsidRDefault="00993ACD" w:rsidP="00993A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93ACD" w:rsidRPr="00993ACD" w:rsidRDefault="00993ACD" w:rsidP="00993ACD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ACD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к самостоятельной работе обучающихся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Самостоятельная работа студентов проводится с целью: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- углубления и расширения теоретических знаний;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:rsidR="00993ACD" w:rsidRPr="00993ACD" w:rsidRDefault="00993ACD" w:rsidP="00993ACD">
      <w:pPr>
        <w:pStyle w:val="Default"/>
        <w:jc w:val="both"/>
        <w:rPr>
          <w:color w:val="auto"/>
        </w:rPr>
      </w:pPr>
      <w:r w:rsidRPr="00993ACD">
        <w:rPr>
          <w:color w:val="auto"/>
        </w:rPr>
        <w:t xml:space="preserve">- развития исследовательских умений. 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  <w:r w:rsidRPr="00993ACD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993ACD" w:rsidRPr="00993ACD" w:rsidRDefault="00993ACD" w:rsidP="00993ACD">
      <w:pPr>
        <w:pStyle w:val="a8"/>
        <w:spacing w:before="0" w:beforeAutospacing="0" w:after="0" w:afterAutospacing="0"/>
        <w:ind w:firstLine="284"/>
        <w:jc w:val="both"/>
      </w:pPr>
    </w:p>
    <w:p w:rsidR="00993ACD" w:rsidRPr="00993ACD" w:rsidRDefault="00993ACD" w:rsidP="00993ACD">
      <w:pPr>
        <w:pStyle w:val="Default"/>
        <w:jc w:val="both"/>
      </w:pPr>
      <w:r w:rsidRPr="00993ACD">
        <w:rPr>
          <w:b/>
          <w:bCs/>
          <w:i/>
          <w:iCs/>
        </w:rPr>
        <w:t xml:space="preserve">Подготовка к лекции </w:t>
      </w:r>
      <w:r w:rsidRPr="00993ACD">
        <w:t xml:space="preserve">студентами заключается в следующем: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4"/>
        <w:jc w:val="both"/>
      </w:pPr>
      <w:r w:rsidRPr="00993ACD">
        <w:t xml:space="preserve">повторить материал предыдущей лекции, прочитав его повторно;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4"/>
        <w:jc w:val="both"/>
      </w:pPr>
      <w:r w:rsidRPr="00993ACD">
        <w:t xml:space="preserve">ознакомиться с темой предстоящей лекции (в рабочей программе учебной дисциплины);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4"/>
        <w:jc w:val="both"/>
      </w:pPr>
      <w:r w:rsidRPr="00993ACD">
        <w:t xml:space="preserve">ознакомиться с учебными материалами по данной теме в соответствии с предложенным списком литературы в рабочей программе или с электронными материалами, предложенными лектором;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jc w:val="both"/>
      </w:pPr>
      <w:r w:rsidRPr="00993ACD">
        <w:t xml:space="preserve">записать возможные вопросы, которые можно будет задать лектору. </w:t>
      </w:r>
    </w:p>
    <w:p w:rsidR="00993ACD" w:rsidRPr="00993ACD" w:rsidRDefault="00993ACD" w:rsidP="00993ACD">
      <w:pPr>
        <w:pStyle w:val="Default"/>
      </w:pPr>
    </w:p>
    <w:p w:rsidR="00993ACD" w:rsidRPr="00993ACD" w:rsidRDefault="00993ACD" w:rsidP="00993ACD">
      <w:pPr>
        <w:pStyle w:val="Default"/>
      </w:pPr>
      <w:r w:rsidRPr="00993ACD">
        <w:rPr>
          <w:b/>
          <w:bCs/>
          <w:i/>
          <w:iCs/>
        </w:rPr>
        <w:t>Подготовка к практическим занятиям</w:t>
      </w:r>
      <w:r w:rsidRPr="00993ACD">
        <w:rPr>
          <w:i/>
          <w:iCs/>
        </w:rPr>
        <w:t xml:space="preserve">: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подготовить развернутые ответы на вопросы, предложенные в рабочей программе дисциплины для обсуждения;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выполнить задания, если они предусмотрены в письменной форме;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</w:pPr>
      <w:r w:rsidRPr="00993ACD">
        <w:lastRenderedPageBreak/>
        <w:t xml:space="preserve">понять, что для вас осталось неясными и постараться получить на них ответ заранее. </w:t>
      </w:r>
    </w:p>
    <w:p w:rsidR="00993ACD" w:rsidRPr="00993ACD" w:rsidRDefault="00993ACD" w:rsidP="00993ACD">
      <w:pPr>
        <w:pStyle w:val="Default"/>
      </w:pPr>
    </w:p>
    <w:p w:rsidR="00993ACD" w:rsidRPr="00993ACD" w:rsidRDefault="00993ACD" w:rsidP="00993ACD">
      <w:pPr>
        <w:pStyle w:val="Default"/>
        <w:rPr>
          <w:i/>
          <w:iCs/>
        </w:rPr>
      </w:pPr>
      <w:r w:rsidRPr="00993ACD">
        <w:rPr>
          <w:b/>
          <w:bCs/>
          <w:i/>
          <w:iCs/>
        </w:rPr>
        <w:t>Подготовка к зачету / экзамену</w:t>
      </w:r>
      <w:r w:rsidRPr="00993ACD">
        <w:rPr>
          <w:i/>
          <w:iCs/>
        </w:rPr>
        <w:t xml:space="preserve">. </w:t>
      </w:r>
    </w:p>
    <w:p w:rsidR="00993ACD" w:rsidRPr="00993ACD" w:rsidRDefault="00993ACD" w:rsidP="00993ACD">
      <w:pPr>
        <w:pStyle w:val="Default"/>
      </w:pPr>
      <w:r w:rsidRPr="00993ACD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программой дисциплины;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перечнем знаний и умений, которыми студент должен владеть;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тематическими планами занятий;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учебником, учебными пособиями по дисциплине, а также электронными ресурсами;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  <w:spacing w:after="47"/>
      </w:pPr>
      <w:r w:rsidRPr="00993ACD">
        <w:t xml:space="preserve">вопросами и заданиями к самостоятельной работе студентов; </w:t>
      </w:r>
    </w:p>
    <w:p w:rsidR="00993ACD" w:rsidRPr="00993ACD" w:rsidRDefault="00993ACD" w:rsidP="00993ACD">
      <w:pPr>
        <w:pStyle w:val="Default"/>
        <w:numPr>
          <w:ilvl w:val="0"/>
          <w:numId w:val="3"/>
        </w:numPr>
      </w:pPr>
      <w:r w:rsidRPr="00993ACD">
        <w:t xml:space="preserve">перечнем вопросов к зачету. </w:t>
      </w: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93ACD" w:rsidRDefault="00993ACD" w:rsidP="00993ACD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83901" w:rsidRPr="00993ACD" w:rsidRDefault="00483901" w:rsidP="00993ACD">
      <w:pPr>
        <w:pStyle w:val="a9"/>
        <w:ind w:left="0"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993ACD">
        <w:rPr>
          <w:rFonts w:ascii="Times New Roman" w:hAnsi="Times New Roman"/>
          <w:sz w:val="24"/>
          <w:szCs w:val="24"/>
          <w:lang w:val="ru-RU"/>
        </w:rPr>
        <w:t xml:space="preserve">Методические материалы утверждены на совместном заседании кафедр массовых коммуникаций и </w:t>
      </w:r>
      <w:proofErr w:type="gramStart"/>
      <w:r w:rsidRPr="00993ACD">
        <w:rPr>
          <w:rFonts w:ascii="Times New Roman" w:hAnsi="Times New Roman"/>
          <w:sz w:val="24"/>
          <w:szCs w:val="24"/>
          <w:lang w:val="ru-RU"/>
        </w:rPr>
        <w:t>теории</w:t>
      </w:r>
      <w:proofErr w:type="gramEnd"/>
      <w:r w:rsidRPr="00993ACD">
        <w:rPr>
          <w:rFonts w:ascii="Times New Roman" w:hAnsi="Times New Roman"/>
          <w:sz w:val="24"/>
          <w:szCs w:val="24"/>
          <w:lang w:val="ru-RU"/>
        </w:rPr>
        <w:t xml:space="preserve"> и истории журналистики (протокол №6 от 2.09.</w:t>
      </w:r>
      <w:r w:rsidRPr="00993ACD">
        <w:rPr>
          <w:rFonts w:ascii="Times New Roman" w:hAnsi="Times New Roman"/>
          <w:bCs/>
          <w:sz w:val="24"/>
          <w:szCs w:val="24"/>
          <w:lang w:val="ru-RU"/>
        </w:rPr>
        <w:t>2020)</w:t>
      </w:r>
    </w:p>
    <w:sectPr w:rsidR="00483901" w:rsidRPr="00993ACD" w:rsidSect="008873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0D24"/>
    <w:multiLevelType w:val="hybridMultilevel"/>
    <w:tmpl w:val="F62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CAB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E3"/>
    <w:rsid w:val="00073686"/>
    <w:rsid w:val="00483901"/>
    <w:rsid w:val="00791E4E"/>
    <w:rsid w:val="008873E3"/>
    <w:rsid w:val="00993ACD"/>
    <w:rsid w:val="009F1857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32B4"/>
  <w15:docId w15:val="{6ED13EEA-DECC-42FA-88AA-438CA7FC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873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873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873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873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873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873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73E3"/>
  </w:style>
  <w:style w:type="table" w:customStyle="1" w:styleId="TableNormal">
    <w:name w:val="Table Normal"/>
    <w:rsid w:val="00887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73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873E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7368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0736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uiPriority w:val="99"/>
    <w:unhideWhenUsed/>
    <w:rsid w:val="00F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993ACD"/>
    <w:pPr>
      <w:widowControl w:val="0"/>
      <w:spacing w:line="240" w:lineRule="auto"/>
      <w:ind w:left="760" w:firstLine="540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993ACD"/>
    <w:rPr>
      <w:rFonts w:eastAsia="Times New Roman" w:cs="Times New Roman"/>
      <w:sz w:val="20"/>
      <w:szCs w:val="20"/>
      <w:lang w:val="en-US"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993ACD"/>
    <w:rPr>
      <w:rFonts w:asciiTheme="minorHAnsi" w:eastAsiaTheme="minorHAnsi" w:hAnsiTheme="minorHAnsi" w:cstheme="minorBidi"/>
      <w:lang w:eastAsia="en-US"/>
    </w:rPr>
  </w:style>
  <w:style w:type="character" w:styleId="ab">
    <w:name w:val="Strong"/>
    <w:basedOn w:val="a0"/>
    <w:uiPriority w:val="22"/>
    <w:qFormat/>
    <w:rsid w:val="00993ACD"/>
    <w:rPr>
      <w:b/>
      <w:bCs/>
    </w:rPr>
  </w:style>
  <w:style w:type="paragraph" w:customStyle="1" w:styleId="Default">
    <w:name w:val="Default"/>
    <w:rsid w:val="00993ACD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RePack by Diakov</cp:lastModifiedBy>
  <cp:revision>3</cp:revision>
  <dcterms:created xsi:type="dcterms:W3CDTF">2020-10-01T10:46:00Z</dcterms:created>
  <dcterms:modified xsi:type="dcterms:W3CDTF">2020-10-01T10:53:00Z</dcterms:modified>
</cp:coreProperties>
</file>